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40" w:rsidRDefault="00114E40" w:rsidP="00114E40">
      <w:pPr>
        <w:ind w:firstLine="1296"/>
        <w:jc w:val="both"/>
        <w:rPr>
          <w:lang w:val="lt-LT"/>
        </w:rPr>
      </w:pPr>
      <w:r>
        <w:rPr>
          <w:b/>
          <w:bCs/>
          <w:lang w:val="lt-LT"/>
        </w:rPr>
        <w:t>ŠIAULIŲ STASIO ŠALKAUSKIO GIMNAZIJA</w:t>
      </w:r>
    </w:p>
    <w:p w:rsidR="00114E40" w:rsidRDefault="00114E40" w:rsidP="00114E40">
      <w:pPr>
        <w:rPr>
          <w:lang w:val="lt-LT"/>
        </w:rPr>
      </w:pPr>
    </w:p>
    <w:p w:rsidR="00114E40" w:rsidRDefault="00FD18FC" w:rsidP="00114E40">
      <w:pPr>
        <w:rPr>
          <w:sz w:val="20"/>
          <w:lang w:val="lt-LT"/>
        </w:rPr>
      </w:pPr>
      <w:r>
        <w:rPr>
          <w:sz w:val="20"/>
          <w:lang w:val="lt-LT"/>
        </w:rPr>
        <w:t>AIŠK</w:t>
      </w:r>
      <w:r w:rsidR="0043429D">
        <w:rPr>
          <w:sz w:val="20"/>
          <w:lang w:val="lt-LT"/>
        </w:rPr>
        <w:t>INAMASIS RAŠTAS PRIE 2018 METŲ 3</w:t>
      </w:r>
      <w:r w:rsidR="00114E40">
        <w:rPr>
          <w:sz w:val="20"/>
          <w:lang w:val="lt-LT"/>
        </w:rPr>
        <w:t xml:space="preserve"> MĖNESIŲ BIUDŽETO IŠLAIDŲ SĄMATOS VYKDYMO ATASKAITŲ</w:t>
      </w:r>
    </w:p>
    <w:p w:rsidR="00114E40" w:rsidRDefault="00114E40" w:rsidP="00EB69DD">
      <w:pPr>
        <w:rPr>
          <w:lang w:val="lt-LT"/>
        </w:rPr>
      </w:pPr>
    </w:p>
    <w:p w:rsidR="00114E40" w:rsidRDefault="00114E40" w:rsidP="00114E40">
      <w:pPr>
        <w:ind w:firstLine="1296"/>
        <w:rPr>
          <w:lang w:val="lt-LT"/>
        </w:rPr>
      </w:pPr>
      <w:r>
        <w:rPr>
          <w:lang w:val="lt-LT"/>
        </w:rPr>
        <w:t xml:space="preserve">Šiaulių Stasio </w:t>
      </w:r>
      <w:proofErr w:type="spellStart"/>
      <w:r>
        <w:rPr>
          <w:lang w:val="lt-LT"/>
        </w:rPr>
        <w:t>Šalkauskio</w:t>
      </w:r>
      <w:proofErr w:type="spellEnd"/>
      <w:r>
        <w:rPr>
          <w:lang w:val="lt-LT"/>
        </w:rPr>
        <w:t xml:space="preserve"> gimnazija -  biudžetinė įstaiga, finansuojama iš miesto savivaldybės biudžeto. Gimnazijos adresas – S. </w:t>
      </w:r>
      <w:proofErr w:type="spellStart"/>
      <w:r>
        <w:rPr>
          <w:lang w:val="lt-LT"/>
        </w:rPr>
        <w:t>Šalkauskio</w:t>
      </w:r>
      <w:proofErr w:type="spellEnd"/>
      <w:r>
        <w:rPr>
          <w:lang w:val="lt-LT"/>
        </w:rPr>
        <w:t xml:space="preserve"> 3 , Šiauliai, </w:t>
      </w:r>
    </w:p>
    <w:p w:rsidR="00114E40" w:rsidRDefault="00114E40" w:rsidP="00114E40">
      <w:pPr>
        <w:rPr>
          <w:lang w:val="lt-LT"/>
        </w:rPr>
      </w:pPr>
      <w:r>
        <w:rPr>
          <w:lang w:val="lt-LT"/>
        </w:rPr>
        <w:t>Įstaigos kodas – 190531418.</w:t>
      </w:r>
    </w:p>
    <w:p w:rsidR="00114E40" w:rsidRDefault="00114E40" w:rsidP="0043429D">
      <w:pPr>
        <w:ind w:firstLine="1296"/>
        <w:rPr>
          <w:lang w:val="lt-LT"/>
        </w:rPr>
      </w:pPr>
      <w:r>
        <w:rPr>
          <w:lang w:val="lt-LT"/>
        </w:rPr>
        <w:t>Gimnazijos pagrindinė paskirtis – bendrosios paskirties mokykla.</w:t>
      </w:r>
    </w:p>
    <w:p w:rsidR="00114E40" w:rsidRDefault="00822C2E" w:rsidP="00114E40">
      <w:pPr>
        <w:rPr>
          <w:lang w:val="lt-LT"/>
        </w:rPr>
      </w:pPr>
      <w:r>
        <w:rPr>
          <w:lang w:val="lt-LT"/>
        </w:rPr>
        <w:t>Mokinių skaičius  - 486</w:t>
      </w:r>
      <w:r w:rsidR="0083325C">
        <w:rPr>
          <w:lang w:val="lt-LT"/>
        </w:rPr>
        <w:t xml:space="preserve">,  </w:t>
      </w:r>
      <w:proofErr w:type="spellStart"/>
      <w:r w:rsidR="0083325C">
        <w:rPr>
          <w:lang w:val="lt-LT"/>
        </w:rPr>
        <w:t>t.y</w:t>
      </w:r>
      <w:proofErr w:type="spellEnd"/>
      <w:r w:rsidR="0083325C">
        <w:rPr>
          <w:lang w:val="lt-LT"/>
        </w:rPr>
        <w:t xml:space="preserve">. 17 </w:t>
      </w:r>
      <w:r w:rsidR="00114E40">
        <w:rPr>
          <w:lang w:val="lt-LT"/>
        </w:rPr>
        <w:t>klasių  komplektai.</w:t>
      </w:r>
    </w:p>
    <w:p w:rsidR="00114E40" w:rsidRDefault="00114E40" w:rsidP="00114E40">
      <w:pPr>
        <w:ind w:firstLine="720"/>
        <w:rPr>
          <w:lang w:val="lt-LT"/>
        </w:rPr>
      </w:pPr>
    </w:p>
    <w:p w:rsidR="00114E40" w:rsidRDefault="0043429D" w:rsidP="00C410AD">
      <w:pPr>
        <w:ind w:firstLine="1296"/>
        <w:jc w:val="both"/>
        <w:rPr>
          <w:lang w:val="lt-LT"/>
        </w:rPr>
      </w:pPr>
      <w:r>
        <w:rPr>
          <w:lang w:val="lt-LT"/>
        </w:rPr>
        <w:t>2018 metų 3</w:t>
      </w:r>
      <w:r w:rsidR="0083325C">
        <w:rPr>
          <w:lang w:val="lt-LT"/>
        </w:rPr>
        <w:t xml:space="preserve"> </w:t>
      </w:r>
      <w:r w:rsidR="00114E40">
        <w:rPr>
          <w:lang w:val="lt-LT"/>
        </w:rPr>
        <w:t xml:space="preserve">mėnesių asignavimų planas – </w:t>
      </w:r>
      <w:r w:rsidR="0063674C">
        <w:rPr>
          <w:lang w:val="lt-LT"/>
        </w:rPr>
        <w:t>248</w:t>
      </w:r>
      <w:r w:rsidR="006213E3">
        <w:rPr>
          <w:lang w:val="lt-LT"/>
        </w:rPr>
        <w:t>300</w:t>
      </w:r>
      <w:r w:rsidR="001B08C2">
        <w:rPr>
          <w:lang w:val="lt-LT"/>
        </w:rPr>
        <w:t>,00</w:t>
      </w:r>
      <w:r w:rsidR="00114E40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>,  gauta</w:t>
      </w:r>
    </w:p>
    <w:p w:rsidR="000A6686" w:rsidRDefault="0063674C" w:rsidP="00C410AD">
      <w:pPr>
        <w:jc w:val="both"/>
        <w:rPr>
          <w:lang w:val="lt-LT"/>
        </w:rPr>
      </w:pPr>
      <w:r>
        <w:rPr>
          <w:lang w:val="lt-LT"/>
        </w:rPr>
        <w:t>236</w:t>
      </w:r>
      <w:r w:rsidR="006213E3">
        <w:rPr>
          <w:lang w:val="lt-LT"/>
        </w:rPr>
        <w:t>933,03</w:t>
      </w:r>
      <w:r w:rsidR="0083325C">
        <w:rPr>
          <w:lang w:val="lt-LT"/>
        </w:rPr>
        <w:t xml:space="preserve"> </w:t>
      </w:r>
      <w:proofErr w:type="spellStart"/>
      <w:r w:rsidR="006213E3">
        <w:rPr>
          <w:lang w:val="lt-LT"/>
        </w:rPr>
        <w:t>Eur</w:t>
      </w:r>
      <w:proofErr w:type="spellEnd"/>
      <w:r w:rsidR="006213E3">
        <w:rPr>
          <w:lang w:val="lt-LT"/>
        </w:rPr>
        <w:t xml:space="preserve"> biudžeto asignavimų, iš jų</w:t>
      </w:r>
      <w:r>
        <w:rPr>
          <w:lang w:val="lt-LT"/>
        </w:rPr>
        <w:t xml:space="preserve"> 212</w:t>
      </w:r>
      <w:r w:rsidR="00C631BA">
        <w:rPr>
          <w:lang w:val="lt-LT"/>
        </w:rPr>
        <w:t>149,69</w:t>
      </w:r>
      <w:r w:rsidR="00C925E9" w:rsidRPr="00C925E9">
        <w:rPr>
          <w:lang w:val="lt-LT"/>
        </w:rPr>
        <w:t xml:space="preserve"> </w:t>
      </w:r>
      <w:proofErr w:type="spellStart"/>
      <w:r w:rsidR="00C631BA">
        <w:rPr>
          <w:lang w:val="lt-LT"/>
        </w:rPr>
        <w:t>Eur</w:t>
      </w:r>
      <w:proofErr w:type="spellEnd"/>
      <w:r w:rsidR="00C631BA">
        <w:rPr>
          <w:lang w:val="lt-LT"/>
        </w:rPr>
        <w:t xml:space="preserve"> </w:t>
      </w:r>
      <w:r w:rsidR="00114E40">
        <w:rPr>
          <w:lang w:val="lt-LT"/>
        </w:rPr>
        <w:t xml:space="preserve">darbo užmokesčiui ir </w:t>
      </w:r>
      <w:proofErr w:type="spellStart"/>
      <w:r w:rsidR="00114E40">
        <w:rPr>
          <w:lang w:val="lt-LT"/>
        </w:rPr>
        <w:t>soc</w:t>
      </w:r>
      <w:proofErr w:type="spellEnd"/>
      <w:r w:rsidR="00114E40">
        <w:rPr>
          <w:lang w:val="lt-LT"/>
        </w:rPr>
        <w:t xml:space="preserve">. draudimui.  Kasinės mokinio krepšelio darbo užmokesčio ir </w:t>
      </w:r>
      <w:proofErr w:type="spellStart"/>
      <w:r w:rsidR="00114E40">
        <w:rPr>
          <w:lang w:val="lt-LT"/>
        </w:rPr>
        <w:t>soc</w:t>
      </w:r>
      <w:proofErr w:type="spellEnd"/>
      <w:r w:rsidR="00114E40">
        <w:rPr>
          <w:lang w:val="lt-LT"/>
        </w:rPr>
        <w:t xml:space="preserve">. draudimo išlaidos sudarė </w:t>
      </w:r>
      <w:r>
        <w:rPr>
          <w:lang w:val="lt-LT"/>
        </w:rPr>
        <w:t>172</w:t>
      </w:r>
      <w:r w:rsidR="005D2894">
        <w:rPr>
          <w:lang w:val="lt-LT"/>
        </w:rPr>
        <w:t>026,09</w:t>
      </w:r>
      <w:r w:rsidR="00114E40" w:rsidRPr="00C410AD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, savivaldybės biudžeto –  </w:t>
      </w:r>
      <w:r>
        <w:rPr>
          <w:lang w:val="lt-LT"/>
        </w:rPr>
        <w:t>32</w:t>
      </w:r>
      <w:r w:rsidR="005D2894">
        <w:rPr>
          <w:lang w:val="lt-LT"/>
        </w:rPr>
        <w:t>957,12</w:t>
      </w:r>
      <w:r w:rsidR="00114E40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, komunalinių paslaugų padengimui </w:t>
      </w:r>
      <w:r w:rsidR="00C410AD">
        <w:rPr>
          <w:lang w:val="lt-LT"/>
        </w:rPr>
        <w:t xml:space="preserve">  </w:t>
      </w:r>
      <w:r>
        <w:rPr>
          <w:lang w:val="lt-LT"/>
        </w:rPr>
        <w:t>17590,13</w:t>
      </w:r>
      <w:r w:rsidR="00C410AD">
        <w:rPr>
          <w:color w:val="FF0000"/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. </w:t>
      </w:r>
    </w:p>
    <w:p w:rsidR="00025E45" w:rsidRDefault="000A6686" w:rsidP="00025E45">
      <w:pPr>
        <w:spacing w:line="276" w:lineRule="auto"/>
        <w:ind w:firstLine="1296"/>
        <w:jc w:val="both"/>
        <w:rPr>
          <w:lang w:val="lt-LT"/>
        </w:rPr>
      </w:pPr>
      <w:r>
        <w:rPr>
          <w:lang w:val="lt-LT"/>
        </w:rPr>
        <w:t>Pateiktos</w:t>
      </w:r>
      <w:r w:rsidR="00E5257E">
        <w:rPr>
          <w:lang w:val="lt-LT"/>
        </w:rPr>
        <w:t>151</w:t>
      </w:r>
      <w:r>
        <w:rPr>
          <w:lang w:val="lt-LT"/>
        </w:rPr>
        <w:t>lėšų šaltinio ūkinio inventoriaus įsigijimo</w:t>
      </w:r>
      <w:r w:rsidR="00CD51BF">
        <w:rPr>
          <w:lang w:val="lt-LT"/>
        </w:rPr>
        <w:t xml:space="preserve"> ir kitų prekių ir paslaugų įsigijimo </w:t>
      </w:r>
      <w:r>
        <w:rPr>
          <w:lang w:val="lt-LT"/>
        </w:rPr>
        <w:t>kasinės viršija ketvirčio planus, nes buvo pirktos kėdės 95 vnt. Už prekes buvo planuota sumokėti per antrą ketvirtį, bet tiekėjas pareikalavo avansinio mokėjimo</w:t>
      </w:r>
      <w:r w:rsidR="00025E45">
        <w:rPr>
          <w:lang w:val="lt-LT"/>
        </w:rPr>
        <w:t xml:space="preserve"> 4787,67 EUR</w:t>
      </w:r>
      <w:r>
        <w:rPr>
          <w:lang w:val="lt-LT"/>
        </w:rPr>
        <w:t xml:space="preserve"> </w:t>
      </w:r>
      <w:proofErr w:type="spellStart"/>
      <w:r>
        <w:rPr>
          <w:lang w:val="lt-LT"/>
        </w:rPr>
        <w:t>š.m</w:t>
      </w:r>
      <w:proofErr w:type="spellEnd"/>
      <w:r>
        <w:rPr>
          <w:lang w:val="lt-LT"/>
        </w:rPr>
        <w:t xml:space="preserve">. kovo mėn. </w:t>
      </w:r>
      <w:r w:rsidR="002B49AE">
        <w:rPr>
          <w:lang w:val="lt-LT"/>
        </w:rPr>
        <w:t>be kurio nepradėjo vykdyti užsakymo. Dėl tos priežasties buvo viršytas ketvirčio planas</w:t>
      </w:r>
      <w:r w:rsidR="00F1691D">
        <w:rPr>
          <w:lang w:val="lt-LT"/>
        </w:rPr>
        <w:t xml:space="preserve">. Komunalinėms išlaidoms taip pat viršytas planas, nes </w:t>
      </w:r>
      <w:r w:rsidR="00CD51BF">
        <w:rPr>
          <w:lang w:val="lt-LT"/>
        </w:rPr>
        <w:t xml:space="preserve">buvo </w:t>
      </w:r>
      <w:r w:rsidR="00B80F7D">
        <w:rPr>
          <w:lang w:val="lt-LT"/>
        </w:rPr>
        <w:t>sumokėtas komunalinių paslaugų skolos likutis</w:t>
      </w:r>
      <w:r w:rsidR="00025E45">
        <w:rPr>
          <w:lang w:val="lt-LT"/>
        </w:rPr>
        <w:t xml:space="preserve"> 1500 EUR</w:t>
      </w:r>
      <w:r w:rsidR="00B80F7D">
        <w:rPr>
          <w:lang w:val="lt-LT"/>
        </w:rPr>
        <w:t xml:space="preserve"> už praėjusius metus. </w:t>
      </w:r>
    </w:p>
    <w:p w:rsidR="00EE1DFA" w:rsidRPr="00025E45" w:rsidRDefault="00EE1DFA" w:rsidP="00025E45">
      <w:pPr>
        <w:spacing w:line="276" w:lineRule="auto"/>
        <w:ind w:firstLine="1296"/>
        <w:jc w:val="both"/>
        <w:rPr>
          <w:lang w:val="lt-LT"/>
        </w:rPr>
      </w:pPr>
      <w:bookmarkStart w:id="0" w:name="_GoBack"/>
      <w:bookmarkEnd w:id="0"/>
      <w:proofErr w:type="spellStart"/>
      <w:proofErr w:type="gramStart"/>
      <w:r>
        <w:rPr>
          <w:iCs/>
        </w:rPr>
        <w:t>Padaugėjus</w:t>
      </w:r>
      <w:proofErr w:type="spellEnd"/>
      <w:r>
        <w:rPr>
          <w:iCs/>
        </w:rPr>
        <w:t xml:space="preserve">  </w:t>
      </w:r>
      <w:proofErr w:type="spellStart"/>
      <w:r>
        <w:rPr>
          <w:iCs/>
        </w:rPr>
        <w:t>mokinių</w:t>
      </w:r>
      <w:proofErr w:type="spellEnd"/>
      <w:proofErr w:type="gramEnd"/>
      <w:r>
        <w:rPr>
          <w:iCs/>
        </w:rPr>
        <w:t xml:space="preserve"> </w:t>
      </w:r>
      <w:proofErr w:type="spellStart"/>
      <w:r>
        <w:rPr>
          <w:iCs/>
        </w:rPr>
        <w:t>valgančių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pietus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už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grynus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pinigus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skaičiui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taip</w:t>
      </w:r>
      <w:proofErr w:type="spellEnd"/>
      <w:r>
        <w:rPr>
          <w:iCs/>
        </w:rPr>
        <w:t xml:space="preserve"> pat  </w:t>
      </w:r>
      <w:proofErr w:type="spellStart"/>
      <w:r>
        <w:rPr>
          <w:iCs/>
        </w:rPr>
        <w:t>gavus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daugiau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lėšų</w:t>
      </w:r>
      <w:proofErr w:type="spellEnd"/>
      <w:r>
        <w:rPr>
          <w:iCs/>
        </w:rPr>
        <w:t xml:space="preserve">  </w:t>
      </w:r>
      <w:proofErr w:type="spellStart"/>
      <w:r>
        <w:rPr>
          <w:iCs/>
        </w:rPr>
        <w:t>už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suteiktas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kitas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paslaugas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buvo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surinkta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daugiau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lėšų</w:t>
      </w:r>
      <w:proofErr w:type="spellEnd"/>
      <w:r>
        <w:rPr>
          <w:iCs/>
        </w:rPr>
        <w:t xml:space="preserve"> per </w:t>
      </w:r>
      <w:proofErr w:type="spellStart"/>
      <w:r>
        <w:rPr>
          <w:iCs/>
        </w:rPr>
        <w:t>pirmą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ketvirtį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nei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planuota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</w:t>
      </w:r>
      <w:r w:rsidR="00A0726B">
        <w:rPr>
          <w:iCs/>
        </w:rPr>
        <w:t>odėl</w:t>
      </w:r>
      <w:proofErr w:type="spellEnd"/>
      <w:r w:rsidR="00A0726B">
        <w:rPr>
          <w:iCs/>
        </w:rPr>
        <w:t xml:space="preserve"> </w:t>
      </w:r>
      <w:proofErr w:type="spellStart"/>
      <w:r w:rsidR="00A0726B">
        <w:rPr>
          <w:iCs/>
        </w:rPr>
        <w:t>norime</w:t>
      </w:r>
      <w:proofErr w:type="spellEnd"/>
      <w:r w:rsidR="00A0726B">
        <w:rPr>
          <w:iCs/>
        </w:rPr>
        <w:t xml:space="preserve"> </w:t>
      </w:r>
      <w:proofErr w:type="spellStart"/>
      <w:r>
        <w:rPr>
          <w:iCs/>
        </w:rPr>
        <w:t>padidinti</w:t>
      </w:r>
      <w:proofErr w:type="spellEnd"/>
      <w:r>
        <w:rPr>
          <w:iCs/>
        </w:rPr>
        <w:t xml:space="preserve"> „</w:t>
      </w:r>
      <w:proofErr w:type="spellStart"/>
      <w:r>
        <w:rPr>
          <w:iCs/>
        </w:rPr>
        <w:t>Kitų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įstaigos</w:t>
      </w:r>
      <w:proofErr w:type="spellEnd"/>
      <w:r>
        <w:rPr>
          <w:iCs/>
        </w:rPr>
        <w:t xml:space="preserve">“ </w:t>
      </w:r>
      <w:proofErr w:type="spellStart"/>
      <w:r>
        <w:rPr>
          <w:iCs/>
        </w:rPr>
        <w:t>lėšų</w:t>
      </w:r>
      <w:proofErr w:type="spellEnd"/>
      <w:r>
        <w:rPr>
          <w:iCs/>
        </w:rPr>
        <w:t xml:space="preserve"> 32 </w:t>
      </w:r>
      <w:proofErr w:type="spellStart"/>
      <w:r>
        <w:rPr>
          <w:iCs/>
        </w:rPr>
        <w:t>priemonės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asignavimų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planą</w:t>
      </w:r>
      <w:proofErr w:type="spellEnd"/>
      <w:r>
        <w:rPr>
          <w:iCs/>
        </w:rPr>
        <w:t xml:space="preserve">, t. y. </w:t>
      </w:r>
      <w:proofErr w:type="spellStart"/>
      <w:r>
        <w:rPr>
          <w:iCs/>
        </w:rPr>
        <w:t>padidinti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str</w:t>
      </w:r>
      <w:proofErr w:type="spellEnd"/>
      <w:r>
        <w:rPr>
          <w:iCs/>
        </w:rPr>
        <w:t xml:space="preserve"> Kt. </w:t>
      </w:r>
      <w:proofErr w:type="spellStart"/>
      <w:r>
        <w:rPr>
          <w:iCs/>
        </w:rPr>
        <w:t>prekės</w:t>
      </w:r>
      <w:proofErr w:type="spellEnd"/>
      <w:r>
        <w:rPr>
          <w:iCs/>
        </w:rPr>
        <w:t xml:space="preserve">“. </w:t>
      </w:r>
    </w:p>
    <w:p w:rsidR="00EE1DFA" w:rsidRDefault="00EE1DFA" w:rsidP="00EE1DFA">
      <w:pPr>
        <w:spacing w:line="276" w:lineRule="auto"/>
        <w:ind w:firstLine="1296"/>
        <w:jc w:val="both"/>
        <w:rPr>
          <w:lang w:val="lt-LT"/>
        </w:rPr>
      </w:pPr>
      <w:r>
        <w:rPr>
          <w:lang w:val="lt-LT"/>
        </w:rPr>
        <w:t xml:space="preserve">Avansinis mokėjimas už prekes įvykdytas per kovo mėn., todėl nespėjau pasiprašyti </w:t>
      </w:r>
      <w:r w:rsidR="00A0726B">
        <w:rPr>
          <w:lang w:val="lt-LT"/>
        </w:rPr>
        <w:t xml:space="preserve">padidinti asignavimų plano. </w:t>
      </w:r>
      <w:r>
        <w:rPr>
          <w:lang w:val="lt-LT"/>
        </w:rPr>
        <w:t xml:space="preserve"> </w:t>
      </w:r>
    </w:p>
    <w:p w:rsidR="00114E40" w:rsidRDefault="00BE3CFF" w:rsidP="00E5257E">
      <w:pPr>
        <w:spacing w:line="276" w:lineRule="auto"/>
        <w:ind w:firstLine="1296"/>
        <w:jc w:val="both"/>
        <w:rPr>
          <w:lang w:val="lt-LT"/>
        </w:rPr>
      </w:pPr>
      <w:r>
        <w:rPr>
          <w:lang w:val="lt-LT"/>
        </w:rPr>
        <w:t>Kreditorin</w:t>
      </w:r>
      <w:r w:rsidR="0063674C">
        <w:rPr>
          <w:lang w:val="lt-LT"/>
        </w:rPr>
        <w:t>is  įsiskolin</w:t>
      </w:r>
      <w:r w:rsidR="00FE14E6">
        <w:rPr>
          <w:lang w:val="lt-LT"/>
        </w:rPr>
        <w:t>imas 2</w:t>
      </w:r>
      <w:r w:rsidR="00946360">
        <w:rPr>
          <w:lang w:val="lt-LT"/>
        </w:rPr>
        <w:t>018 metų kovo 31 dienai 1713,76</w:t>
      </w:r>
      <w:r w:rsidR="00114E40" w:rsidRPr="004653F4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>:</w:t>
      </w:r>
      <w:r w:rsidR="00B26DF3">
        <w:rPr>
          <w:lang w:val="lt-LT"/>
        </w:rPr>
        <w:t xml:space="preserve"> </w:t>
      </w:r>
    </w:p>
    <w:p w:rsidR="00EE1DFA" w:rsidRDefault="00F1275F" w:rsidP="00C410AD">
      <w:pPr>
        <w:jc w:val="both"/>
        <w:rPr>
          <w:lang w:val="lt-LT"/>
        </w:rPr>
      </w:pPr>
      <w:r>
        <w:rPr>
          <w:lang w:val="lt-LT"/>
        </w:rPr>
        <w:t xml:space="preserve">    </w:t>
      </w:r>
    </w:p>
    <w:tbl>
      <w:tblPr>
        <w:tblW w:w="7602" w:type="dxa"/>
        <w:tblInd w:w="93" w:type="dxa"/>
        <w:tblLook w:val="04A0" w:firstRow="1" w:lastRow="0" w:firstColumn="1" w:lastColumn="0" w:noHBand="0" w:noVBand="1"/>
      </w:tblPr>
      <w:tblGrid>
        <w:gridCol w:w="4795"/>
        <w:gridCol w:w="1221"/>
        <w:gridCol w:w="1586"/>
      </w:tblGrid>
      <w:tr w:rsidR="00F1275F" w:rsidRPr="00E870D6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UAB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Antagutė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10,50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F1275F" w:rsidRPr="00E870D6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UAB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Splius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16,39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F1275F" w:rsidRPr="00E870D6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UAB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saugos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tarnyba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Argus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52,56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F1275F" w:rsidRPr="00E870D6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UAB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Šiaulių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vandenys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320,47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F1275F" w:rsidRPr="00E870D6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UAB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Energijos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tiekimas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373,70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  <w:tr w:rsidR="00F1275F" w:rsidRPr="00E870D6" w:rsidTr="00BC1698">
        <w:trPr>
          <w:trHeight w:val="311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AB   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Energijos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skirstymo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operatorius</w:t>
            </w:r>
            <w:proofErr w:type="spellEnd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275F" w:rsidRPr="00E870D6" w:rsidRDefault="00946360" w:rsidP="00E269B3">
            <w:pPr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</w:t>
            </w:r>
            <w:r w:rsidR="00F1275F"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529,13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275F" w:rsidRPr="00E870D6" w:rsidRDefault="00F1275F" w:rsidP="00E269B3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E870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Eur</w:t>
            </w:r>
            <w:proofErr w:type="spellEnd"/>
          </w:p>
        </w:tc>
      </w:tr>
    </w:tbl>
    <w:p w:rsidR="00F1275F" w:rsidRPr="00E870D6" w:rsidRDefault="00946360" w:rsidP="00E269B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  </w:t>
      </w:r>
      <w:r w:rsidR="00ED068D"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UAB </w:t>
      </w:r>
      <w:proofErr w:type="spellStart"/>
      <w:r w:rsidR="00ED068D" w:rsidRPr="00E870D6">
        <w:rPr>
          <w:rFonts w:asciiTheme="minorHAnsi" w:hAnsiTheme="minorHAnsi" w:cstheme="minorHAnsi"/>
          <w:sz w:val="22"/>
          <w:szCs w:val="22"/>
          <w:lang w:val="lt-LT"/>
        </w:rPr>
        <w:t>Koslita</w:t>
      </w:r>
      <w:proofErr w:type="spellEnd"/>
      <w:r w:rsidR="00ED068D"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                                                    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                             </w:t>
      </w:r>
      <w:r w:rsidR="00ED068D"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187,88   </w:t>
      </w:r>
      <w:proofErr w:type="spellStart"/>
      <w:r w:rsidR="00ED068D" w:rsidRPr="00E870D6">
        <w:rPr>
          <w:rFonts w:asciiTheme="minorHAnsi" w:hAnsiTheme="minorHAnsi" w:cstheme="minorHAnsi"/>
          <w:sz w:val="22"/>
          <w:szCs w:val="22"/>
          <w:lang w:val="lt-LT"/>
        </w:rPr>
        <w:t>Eur</w:t>
      </w:r>
      <w:proofErr w:type="spellEnd"/>
    </w:p>
    <w:p w:rsidR="00E35A08" w:rsidRPr="00E870D6" w:rsidRDefault="009D17A8" w:rsidP="00B0584B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UAB </w:t>
      </w:r>
      <w:proofErr w:type="spellStart"/>
      <w:r w:rsidRPr="00E870D6">
        <w:rPr>
          <w:rFonts w:asciiTheme="minorHAnsi" w:hAnsiTheme="minorHAnsi" w:cstheme="minorHAnsi"/>
          <w:sz w:val="22"/>
          <w:szCs w:val="22"/>
          <w:lang w:val="lt-LT"/>
        </w:rPr>
        <w:t>Jupoja</w:t>
      </w:r>
      <w:proofErr w:type="spellEnd"/>
      <w:r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                                                       </w:t>
      </w:r>
      <w:r w:rsidR="00946360">
        <w:rPr>
          <w:rFonts w:asciiTheme="minorHAnsi" w:hAnsiTheme="minorHAnsi" w:cstheme="minorHAnsi"/>
          <w:sz w:val="22"/>
          <w:szCs w:val="22"/>
          <w:lang w:val="lt-LT"/>
        </w:rPr>
        <w:t xml:space="preserve">                               </w:t>
      </w:r>
      <w:r w:rsidRPr="00E870D6">
        <w:rPr>
          <w:rFonts w:asciiTheme="minorHAnsi" w:hAnsiTheme="minorHAnsi" w:cstheme="minorHAnsi"/>
          <w:sz w:val="22"/>
          <w:szCs w:val="22"/>
          <w:lang w:val="lt-LT"/>
        </w:rPr>
        <w:t xml:space="preserve">223,13   </w:t>
      </w:r>
      <w:proofErr w:type="spellStart"/>
      <w:r w:rsidRPr="00E870D6">
        <w:rPr>
          <w:rFonts w:asciiTheme="minorHAnsi" w:hAnsiTheme="minorHAnsi" w:cstheme="minorHAnsi"/>
          <w:sz w:val="22"/>
          <w:szCs w:val="22"/>
          <w:lang w:val="lt-LT"/>
        </w:rPr>
        <w:t>Eur</w:t>
      </w:r>
      <w:proofErr w:type="spellEnd"/>
    </w:p>
    <w:p w:rsidR="00E35A08" w:rsidRDefault="00E35A08" w:rsidP="00B0584B">
      <w:pPr>
        <w:rPr>
          <w:lang w:val="lt-LT"/>
        </w:rPr>
      </w:pPr>
    </w:p>
    <w:p w:rsidR="00114E40" w:rsidRDefault="00EC3F8D" w:rsidP="005A5AF1">
      <w:pPr>
        <w:ind w:firstLine="1296"/>
        <w:jc w:val="center"/>
        <w:rPr>
          <w:lang w:val="lt-LT"/>
        </w:rPr>
      </w:pPr>
      <w:r>
        <w:rPr>
          <w:lang w:val="lt-LT"/>
        </w:rPr>
        <w:t>2018 metų 3</w:t>
      </w:r>
      <w:r w:rsidR="00B26DF3">
        <w:rPr>
          <w:lang w:val="lt-LT"/>
        </w:rPr>
        <w:t xml:space="preserve"> </w:t>
      </w:r>
      <w:r w:rsidR="00114E40">
        <w:rPr>
          <w:lang w:val="lt-LT"/>
        </w:rPr>
        <w:t>mėnesių pajamų planas už teikiamas paslaugas buvo</w:t>
      </w:r>
    </w:p>
    <w:p w:rsidR="00114E40" w:rsidRDefault="00EC3F8D" w:rsidP="005A5AF1">
      <w:pPr>
        <w:jc w:val="center"/>
        <w:rPr>
          <w:lang w:val="lt-LT"/>
        </w:rPr>
      </w:pPr>
      <w:r>
        <w:rPr>
          <w:lang w:val="lt-LT"/>
        </w:rPr>
        <w:t>7300,00</w:t>
      </w:r>
      <w:r w:rsidR="00B26DF3"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 Surinkta pajamų 13800,00</w:t>
      </w:r>
      <w:r w:rsidR="00114E40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114E40">
        <w:rPr>
          <w:lang w:val="lt-LT"/>
        </w:rPr>
        <w:t xml:space="preserve">, gauti iš biudžeto asignavimai – </w:t>
      </w:r>
      <w:r>
        <w:rPr>
          <w:lang w:val="lt-LT"/>
        </w:rPr>
        <w:t>6433,04</w:t>
      </w:r>
      <w:r w:rsidR="00114E40">
        <w:rPr>
          <w:lang w:val="lt-LT"/>
        </w:rPr>
        <w:t xml:space="preserve"> </w:t>
      </w:r>
      <w:proofErr w:type="spellStart"/>
      <w:r w:rsidR="00114E40">
        <w:rPr>
          <w:lang w:val="lt-LT"/>
        </w:rPr>
        <w:t>Eur</w:t>
      </w:r>
      <w:proofErr w:type="spellEnd"/>
      <w:r w:rsidR="00B26DF3">
        <w:rPr>
          <w:lang w:val="lt-LT"/>
        </w:rPr>
        <w:t>.</w:t>
      </w:r>
    </w:p>
    <w:p w:rsidR="00114E40" w:rsidRDefault="00114E40" w:rsidP="005A5AF1">
      <w:pPr>
        <w:jc w:val="center"/>
        <w:rPr>
          <w:lang w:val="lt-LT"/>
        </w:rPr>
      </w:pPr>
    </w:p>
    <w:p w:rsidR="00EB69DD" w:rsidRDefault="00EB69DD" w:rsidP="005A5AF1">
      <w:pPr>
        <w:jc w:val="center"/>
        <w:rPr>
          <w:lang w:val="lt-LT"/>
        </w:rPr>
      </w:pPr>
    </w:p>
    <w:p w:rsidR="00EB69DD" w:rsidRDefault="00EB69DD" w:rsidP="00EB69DD">
      <w:pPr>
        <w:rPr>
          <w:lang w:val="lt-LT"/>
        </w:rPr>
      </w:pPr>
      <w:r>
        <w:rPr>
          <w:lang w:val="lt-LT"/>
        </w:rPr>
        <w:t>Direktorė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  <w:t xml:space="preserve">Loreta </w:t>
      </w:r>
      <w:proofErr w:type="spellStart"/>
      <w:r>
        <w:rPr>
          <w:lang w:val="lt-LT"/>
        </w:rPr>
        <w:t>Tamulaitienė</w:t>
      </w:r>
      <w:proofErr w:type="spellEnd"/>
      <w:r>
        <w:rPr>
          <w:lang w:val="lt-LT"/>
        </w:rPr>
        <w:tab/>
      </w:r>
      <w:r>
        <w:rPr>
          <w:lang w:val="lt-LT"/>
        </w:rPr>
        <w:tab/>
      </w:r>
    </w:p>
    <w:p w:rsidR="00EB69DD" w:rsidRPr="00BB6770" w:rsidRDefault="00EB69DD" w:rsidP="00EB69DD">
      <w:pPr>
        <w:rPr>
          <w:lang w:val="lt-LT"/>
        </w:rPr>
      </w:pPr>
      <w:r>
        <w:rPr>
          <w:lang w:val="lt-LT"/>
        </w:rPr>
        <w:t>Vyr. Buhalterė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  <w:t xml:space="preserve">Rasa </w:t>
      </w:r>
      <w:proofErr w:type="spellStart"/>
      <w:r>
        <w:rPr>
          <w:lang w:val="lt-LT"/>
        </w:rPr>
        <w:t>Baltaragienė</w:t>
      </w:r>
      <w:proofErr w:type="spellEnd"/>
    </w:p>
    <w:p w:rsidR="00114E40" w:rsidRDefault="00114E40" w:rsidP="005A5AF1">
      <w:pPr>
        <w:jc w:val="center"/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E35A08" w:rsidRDefault="00E35A08" w:rsidP="00114E40">
      <w:pPr>
        <w:rPr>
          <w:lang w:val="lt-LT"/>
        </w:rPr>
      </w:pPr>
    </w:p>
    <w:p w:rsidR="00E35A08" w:rsidRDefault="00E35A08" w:rsidP="00114E40">
      <w:pPr>
        <w:rPr>
          <w:lang w:val="lt-LT"/>
        </w:rPr>
      </w:pPr>
    </w:p>
    <w:p w:rsidR="00E35A08" w:rsidRDefault="00E35A08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p w:rsidR="00114E40" w:rsidRDefault="00114E40" w:rsidP="00114E40">
      <w:pPr>
        <w:rPr>
          <w:lang w:val="lt-LT"/>
        </w:rPr>
      </w:pPr>
    </w:p>
    <w:sectPr w:rsidR="00114E40" w:rsidSect="00986ADF">
      <w:pgSz w:w="11906" w:h="16838"/>
      <w:pgMar w:top="1701" w:right="147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40"/>
    <w:rsid w:val="00000A04"/>
    <w:rsid w:val="00002FFA"/>
    <w:rsid w:val="000042A6"/>
    <w:rsid w:val="00025E45"/>
    <w:rsid w:val="000315F4"/>
    <w:rsid w:val="00036DAA"/>
    <w:rsid w:val="0004244F"/>
    <w:rsid w:val="00044C0B"/>
    <w:rsid w:val="000534C4"/>
    <w:rsid w:val="00070112"/>
    <w:rsid w:val="0007582C"/>
    <w:rsid w:val="00075AD7"/>
    <w:rsid w:val="00084FCF"/>
    <w:rsid w:val="000862B1"/>
    <w:rsid w:val="000940CF"/>
    <w:rsid w:val="00095769"/>
    <w:rsid w:val="000A117F"/>
    <w:rsid w:val="000A3214"/>
    <w:rsid w:val="000A61EA"/>
    <w:rsid w:val="000A6686"/>
    <w:rsid w:val="000B1DED"/>
    <w:rsid w:val="000B50B7"/>
    <w:rsid w:val="000B7521"/>
    <w:rsid w:val="000B76E7"/>
    <w:rsid w:val="000C18C2"/>
    <w:rsid w:val="000C3FCA"/>
    <w:rsid w:val="000C63B9"/>
    <w:rsid w:val="000E12B0"/>
    <w:rsid w:val="000E49D7"/>
    <w:rsid w:val="000F5F74"/>
    <w:rsid w:val="000F67A0"/>
    <w:rsid w:val="00100570"/>
    <w:rsid w:val="00114E40"/>
    <w:rsid w:val="0012471E"/>
    <w:rsid w:val="001263D7"/>
    <w:rsid w:val="00130D47"/>
    <w:rsid w:val="001321E4"/>
    <w:rsid w:val="0013484E"/>
    <w:rsid w:val="00144D35"/>
    <w:rsid w:val="00152485"/>
    <w:rsid w:val="00156D08"/>
    <w:rsid w:val="00163D05"/>
    <w:rsid w:val="001660C8"/>
    <w:rsid w:val="0019477B"/>
    <w:rsid w:val="0019597E"/>
    <w:rsid w:val="001A6ADF"/>
    <w:rsid w:val="001B08C2"/>
    <w:rsid w:val="001B0DF8"/>
    <w:rsid w:val="001B2603"/>
    <w:rsid w:val="001B528A"/>
    <w:rsid w:val="001B5A32"/>
    <w:rsid w:val="001C1486"/>
    <w:rsid w:val="001C18FF"/>
    <w:rsid w:val="001D1CC8"/>
    <w:rsid w:val="001D2F5C"/>
    <w:rsid w:val="001D4AAB"/>
    <w:rsid w:val="001E592D"/>
    <w:rsid w:val="001F3DDB"/>
    <w:rsid w:val="002020B4"/>
    <w:rsid w:val="002078A9"/>
    <w:rsid w:val="0021227F"/>
    <w:rsid w:val="00221ABE"/>
    <w:rsid w:val="002224A5"/>
    <w:rsid w:val="00226A05"/>
    <w:rsid w:val="00240C97"/>
    <w:rsid w:val="00240EF1"/>
    <w:rsid w:val="00241166"/>
    <w:rsid w:val="0024155C"/>
    <w:rsid w:val="002511FD"/>
    <w:rsid w:val="0025133D"/>
    <w:rsid w:val="00252026"/>
    <w:rsid w:val="002615F1"/>
    <w:rsid w:val="002626BF"/>
    <w:rsid w:val="0026299F"/>
    <w:rsid w:val="0026721B"/>
    <w:rsid w:val="00270F6A"/>
    <w:rsid w:val="00291572"/>
    <w:rsid w:val="00294E7D"/>
    <w:rsid w:val="002A48BA"/>
    <w:rsid w:val="002B49AE"/>
    <w:rsid w:val="002D116C"/>
    <w:rsid w:val="002D30E5"/>
    <w:rsid w:val="002D348D"/>
    <w:rsid w:val="002D6D56"/>
    <w:rsid w:val="002E5DB5"/>
    <w:rsid w:val="002F13D0"/>
    <w:rsid w:val="002F1CD9"/>
    <w:rsid w:val="003067E7"/>
    <w:rsid w:val="00310807"/>
    <w:rsid w:val="00312E27"/>
    <w:rsid w:val="00320223"/>
    <w:rsid w:val="00341299"/>
    <w:rsid w:val="0034654E"/>
    <w:rsid w:val="003510B6"/>
    <w:rsid w:val="003513E6"/>
    <w:rsid w:val="00352929"/>
    <w:rsid w:val="00354549"/>
    <w:rsid w:val="00355263"/>
    <w:rsid w:val="00360B93"/>
    <w:rsid w:val="003826A4"/>
    <w:rsid w:val="00382C2E"/>
    <w:rsid w:val="00384648"/>
    <w:rsid w:val="00391CC9"/>
    <w:rsid w:val="00395A65"/>
    <w:rsid w:val="00396062"/>
    <w:rsid w:val="003A09BF"/>
    <w:rsid w:val="003A4F3B"/>
    <w:rsid w:val="003B292A"/>
    <w:rsid w:val="003C2749"/>
    <w:rsid w:val="003C5B22"/>
    <w:rsid w:val="003C6B64"/>
    <w:rsid w:val="003D6D85"/>
    <w:rsid w:val="003E4040"/>
    <w:rsid w:val="003E797F"/>
    <w:rsid w:val="003F2DC3"/>
    <w:rsid w:val="0040525E"/>
    <w:rsid w:val="00417CBC"/>
    <w:rsid w:val="00433AB9"/>
    <w:rsid w:val="0043429D"/>
    <w:rsid w:val="00434EC7"/>
    <w:rsid w:val="0044601B"/>
    <w:rsid w:val="00446E02"/>
    <w:rsid w:val="00453C61"/>
    <w:rsid w:val="0046481E"/>
    <w:rsid w:val="004653F4"/>
    <w:rsid w:val="00465D58"/>
    <w:rsid w:val="00466523"/>
    <w:rsid w:val="00467B72"/>
    <w:rsid w:val="00470863"/>
    <w:rsid w:val="00475117"/>
    <w:rsid w:val="00477182"/>
    <w:rsid w:val="004801E0"/>
    <w:rsid w:val="0048079B"/>
    <w:rsid w:val="0048444F"/>
    <w:rsid w:val="00484601"/>
    <w:rsid w:val="004859A2"/>
    <w:rsid w:val="004860BC"/>
    <w:rsid w:val="004A25B2"/>
    <w:rsid w:val="004A670B"/>
    <w:rsid w:val="004B0AE1"/>
    <w:rsid w:val="004B1F13"/>
    <w:rsid w:val="004B3D0A"/>
    <w:rsid w:val="004C31D4"/>
    <w:rsid w:val="004C534F"/>
    <w:rsid w:val="004C5CAA"/>
    <w:rsid w:val="004C7BA0"/>
    <w:rsid w:val="004D1C06"/>
    <w:rsid w:val="004E71E3"/>
    <w:rsid w:val="004F47E2"/>
    <w:rsid w:val="004F511E"/>
    <w:rsid w:val="004F6094"/>
    <w:rsid w:val="004F66E7"/>
    <w:rsid w:val="004F70CD"/>
    <w:rsid w:val="004F7624"/>
    <w:rsid w:val="00500BC5"/>
    <w:rsid w:val="005035FB"/>
    <w:rsid w:val="00515370"/>
    <w:rsid w:val="005204FC"/>
    <w:rsid w:val="00534166"/>
    <w:rsid w:val="005349D6"/>
    <w:rsid w:val="0054256C"/>
    <w:rsid w:val="00544C68"/>
    <w:rsid w:val="00550C2D"/>
    <w:rsid w:val="00553295"/>
    <w:rsid w:val="00560E67"/>
    <w:rsid w:val="00561173"/>
    <w:rsid w:val="00564B4A"/>
    <w:rsid w:val="00564F67"/>
    <w:rsid w:val="0056562C"/>
    <w:rsid w:val="00567AD1"/>
    <w:rsid w:val="00567B5C"/>
    <w:rsid w:val="00575CE0"/>
    <w:rsid w:val="005801EB"/>
    <w:rsid w:val="00580D51"/>
    <w:rsid w:val="005810DD"/>
    <w:rsid w:val="0058262E"/>
    <w:rsid w:val="005842B0"/>
    <w:rsid w:val="005A1FFB"/>
    <w:rsid w:val="005A5AF1"/>
    <w:rsid w:val="005A5FDB"/>
    <w:rsid w:val="005C35A2"/>
    <w:rsid w:val="005D26C1"/>
    <w:rsid w:val="005D2894"/>
    <w:rsid w:val="005D4445"/>
    <w:rsid w:val="005E115D"/>
    <w:rsid w:val="005E3DFA"/>
    <w:rsid w:val="005E4DEB"/>
    <w:rsid w:val="005F1479"/>
    <w:rsid w:val="005F202F"/>
    <w:rsid w:val="005F3DAF"/>
    <w:rsid w:val="00603611"/>
    <w:rsid w:val="00604B4E"/>
    <w:rsid w:val="0061481A"/>
    <w:rsid w:val="006151AC"/>
    <w:rsid w:val="006213E3"/>
    <w:rsid w:val="00623F86"/>
    <w:rsid w:val="0062472E"/>
    <w:rsid w:val="006305EA"/>
    <w:rsid w:val="0063674C"/>
    <w:rsid w:val="00637699"/>
    <w:rsid w:val="00640016"/>
    <w:rsid w:val="00645A61"/>
    <w:rsid w:val="00647E80"/>
    <w:rsid w:val="00652330"/>
    <w:rsid w:val="00657925"/>
    <w:rsid w:val="00661A49"/>
    <w:rsid w:val="0067538C"/>
    <w:rsid w:val="00675689"/>
    <w:rsid w:val="00683383"/>
    <w:rsid w:val="00684FD1"/>
    <w:rsid w:val="00692AEE"/>
    <w:rsid w:val="006A105A"/>
    <w:rsid w:val="006A115E"/>
    <w:rsid w:val="006A2B18"/>
    <w:rsid w:val="006B4F45"/>
    <w:rsid w:val="006B6DA8"/>
    <w:rsid w:val="006C0942"/>
    <w:rsid w:val="006C50CE"/>
    <w:rsid w:val="006C5275"/>
    <w:rsid w:val="006D3C28"/>
    <w:rsid w:val="006D7044"/>
    <w:rsid w:val="006E14D7"/>
    <w:rsid w:val="006E497B"/>
    <w:rsid w:val="006E7961"/>
    <w:rsid w:val="006F0F0D"/>
    <w:rsid w:val="006F5A22"/>
    <w:rsid w:val="006F6EF6"/>
    <w:rsid w:val="00700F2D"/>
    <w:rsid w:val="007051F0"/>
    <w:rsid w:val="00705501"/>
    <w:rsid w:val="00722F7E"/>
    <w:rsid w:val="007270DC"/>
    <w:rsid w:val="0074347D"/>
    <w:rsid w:val="0074414C"/>
    <w:rsid w:val="00751B46"/>
    <w:rsid w:val="0075398B"/>
    <w:rsid w:val="0075492B"/>
    <w:rsid w:val="00757CBD"/>
    <w:rsid w:val="007617AE"/>
    <w:rsid w:val="00787480"/>
    <w:rsid w:val="00787D41"/>
    <w:rsid w:val="00794E92"/>
    <w:rsid w:val="007B48F8"/>
    <w:rsid w:val="007C07A0"/>
    <w:rsid w:val="007C7B1B"/>
    <w:rsid w:val="007D3006"/>
    <w:rsid w:val="007D3A6A"/>
    <w:rsid w:val="007D510D"/>
    <w:rsid w:val="008017F3"/>
    <w:rsid w:val="00801CD7"/>
    <w:rsid w:val="00802DD1"/>
    <w:rsid w:val="00806009"/>
    <w:rsid w:val="00822C2E"/>
    <w:rsid w:val="00826252"/>
    <w:rsid w:val="008279D2"/>
    <w:rsid w:val="00830982"/>
    <w:rsid w:val="0083325C"/>
    <w:rsid w:val="00835B56"/>
    <w:rsid w:val="00845FB4"/>
    <w:rsid w:val="008503CE"/>
    <w:rsid w:val="00850CAD"/>
    <w:rsid w:val="008555FD"/>
    <w:rsid w:val="00860CFB"/>
    <w:rsid w:val="00864259"/>
    <w:rsid w:val="00871E4E"/>
    <w:rsid w:val="008800C1"/>
    <w:rsid w:val="00882089"/>
    <w:rsid w:val="00886703"/>
    <w:rsid w:val="00890D96"/>
    <w:rsid w:val="00892D2F"/>
    <w:rsid w:val="00892E28"/>
    <w:rsid w:val="00897FC5"/>
    <w:rsid w:val="008A3366"/>
    <w:rsid w:val="008A62C6"/>
    <w:rsid w:val="008B24F3"/>
    <w:rsid w:val="008B2864"/>
    <w:rsid w:val="008B60DB"/>
    <w:rsid w:val="008B6196"/>
    <w:rsid w:val="008C10B0"/>
    <w:rsid w:val="008C17B9"/>
    <w:rsid w:val="008C24EF"/>
    <w:rsid w:val="008C4646"/>
    <w:rsid w:val="008D07B0"/>
    <w:rsid w:val="008D3B81"/>
    <w:rsid w:val="008D48C9"/>
    <w:rsid w:val="008D76EC"/>
    <w:rsid w:val="008E3965"/>
    <w:rsid w:val="008E5C82"/>
    <w:rsid w:val="008F3ACB"/>
    <w:rsid w:val="00901AA4"/>
    <w:rsid w:val="00901D67"/>
    <w:rsid w:val="009076C6"/>
    <w:rsid w:val="00912C80"/>
    <w:rsid w:val="009213D3"/>
    <w:rsid w:val="00922EF9"/>
    <w:rsid w:val="009268D4"/>
    <w:rsid w:val="00937087"/>
    <w:rsid w:val="009405A3"/>
    <w:rsid w:val="00944DE7"/>
    <w:rsid w:val="00944E04"/>
    <w:rsid w:val="00946360"/>
    <w:rsid w:val="00951618"/>
    <w:rsid w:val="00953259"/>
    <w:rsid w:val="009602DE"/>
    <w:rsid w:val="00963F3F"/>
    <w:rsid w:val="0096783E"/>
    <w:rsid w:val="00982554"/>
    <w:rsid w:val="009A39E6"/>
    <w:rsid w:val="009A5443"/>
    <w:rsid w:val="009A75AB"/>
    <w:rsid w:val="009A7DA5"/>
    <w:rsid w:val="009B68C7"/>
    <w:rsid w:val="009D17A8"/>
    <w:rsid w:val="009D668E"/>
    <w:rsid w:val="009D7045"/>
    <w:rsid w:val="009E1D1A"/>
    <w:rsid w:val="009E6627"/>
    <w:rsid w:val="009F7531"/>
    <w:rsid w:val="00A00BE4"/>
    <w:rsid w:val="00A0726B"/>
    <w:rsid w:val="00A14C8D"/>
    <w:rsid w:val="00A15BCF"/>
    <w:rsid w:val="00A20EC3"/>
    <w:rsid w:val="00A25A56"/>
    <w:rsid w:val="00A313A7"/>
    <w:rsid w:val="00A47D42"/>
    <w:rsid w:val="00A50197"/>
    <w:rsid w:val="00A574B2"/>
    <w:rsid w:val="00A5770B"/>
    <w:rsid w:val="00A60213"/>
    <w:rsid w:val="00A724CB"/>
    <w:rsid w:val="00A87912"/>
    <w:rsid w:val="00A97098"/>
    <w:rsid w:val="00A9720A"/>
    <w:rsid w:val="00AA22AD"/>
    <w:rsid w:val="00AB335B"/>
    <w:rsid w:val="00AB5ED7"/>
    <w:rsid w:val="00AB633F"/>
    <w:rsid w:val="00AB6DD2"/>
    <w:rsid w:val="00AB6F9A"/>
    <w:rsid w:val="00AC4206"/>
    <w:rsid w:val="00AC4771"/>
    <w:rsid w:val="00AC484C"/>
    <w:rsid w:val="00AD2163"/>
    <w:rsid w:val="00AD5D35"/>
    <w:rsid w:val="00AF07D3"/>
    <w:rsid w:val="00AF2B46"/>
    <w:rsid w:val="00AF60F6"/>
    <w:rsid w:val="00AF6406"/>
    <w:rsid w:val="00B020F2"/>
    <w:rsid w:val="00B052E0"/>
    <w:rsid w:val="00B0584B"/>
    <w:rsid w:val="00B06241"/>
    <w:rsid w:val="00B07BDD"/>
    <w:rsid w:val="00B22477"/>
    <w:rsid w:val="00B269F7"/>
    <w:rsid w:val="00B26DF3"/>
    <w:rsid w:val="00B371D7"/>
    <w:rsid w:val="00B37F54"/>
    <w:rsid w:val="00B44E96"/>
    <w:rsid w:val="00B50F1E"/>
    <w:rsid w:val="00B52DFC"/>
    <w:rsid w:val="00B54A27"/>
    <w:rsid w:val="00B5625A"/>
    <w:rsid w:val="00B62EDB"/>
    <w:rsid w:val="00B6534F"/>
    <w:rsid w:val="00B65F5E"/>
    <w:rsid w:val="00B70651"/>
    <w:rsid w:val="00B725C9"/>
    <w:rsid w:val="00B76F5F"/>
    <w:rsid w:val="00B80F7D"/>
    <w:rsid w:val="00B8167C"/>
    <w:rsid w:val="00B8187E"/>
    <w:rsid w:val="00B8207B"/>
    <w:rsid w:val="00BA2252"/>
    <w:rsid w:val="00BA268E"/>
    <w:rsid w:val="00BB08B5"/>
    <w:rsid w:val="00BB6770"/>
    <w:rsid w:val="00BC2FB6"/>
    <w:rsid w:val="00BD1DC6"/>
    <w:rsid w:val="00BD522F"/>
    <w:rsid w:val="00BD67C3"/>
    <w:rsid w:val="00BD7A84"/>
    <w:rsid w:val="00BE3CFF"/>
    <w:rsid w:val="00BF40BC"/>
    <w:rsid w:val="00BF5C00"/>
    <w:rsid w:val="00C04B74"/>
    <w:rsid w:val="00C05E7D"/>
    <w:rsid w:val="00C05F7E"/>
    <w:rsid w:val="00C12608"/>
    <w:rsid w:val="00C15177"/>
    <w:rsid w:val="00C26D73"/>
    <w:rsid w:val="00C27406"/>
    <w:rsid w:val="00C37CFF"/>
    <w:rsid w:val="00C410AD"/>
    <w:rsid w:val="00C4120F"/>
    <w:rsid w:val="00C41838"/>
    <w:rsid w:val="00C42C37"/>
    <w:rsid w:val="00C42E90"/>
    <w:rsid w:val="00C4575C"/>
    <w:rsid w:val="00C500A0"/>
    <w:rsid w:val="00C631BA"/>
    <w:rsid w:val="00C655C8"/>
    <w:rsid w:val="00C71E87"/>
    <w:rsid w:val="00C80906"/>
    <w:rsid w:val="00C82E9E"/>
    <w:rsid w:val="00C857C4"/>
    <w:rsid w:val="00C92160"/>
    <w:rsid w:val="00C925E9"/>
    <w:rsid w:val="00C92F86"/>
    <w:rsid w:val="00CA0014"/>
    <w:rsid w:val="00CA051F"/>
    <w:rsid w:val="00CA533A"/>
    <w:rsid w:val="00CB18C0"/>
    <w:rsid w:val="00CB4D43"/>
    <w:rsid w:val="00CC584D"/>
    <w:rsid w:val="00CC68BB"/>
    <w:rsid w:val="00CD121C"/>
    <w:rsid w:val="00CD1E76"/>
    <w:rsid w:val="00CD4CA8"/>
    <w:rsid w:val="00CD51BF"/>
    <w:rsid w:val="00CD5C53"/>
    <w:rsid w:val="00CD5E95"/>
    <w:rsid w:val="00CD7BD5"/>
    <w:rsid w:val="00CE6642"/>
    <w:rsid w:val="00CF6BB5"/>
    <w:rsid w:val="00D00021"/>
    <w:rsid w:val="00D00807"/>
    <w:rsid w:val="00D055B5"/>
    <w:rsid w:val="00D06424"/>
    <w:rsid w:val="00D06B9F"/>
    <w:rsid w:val="00D07509"/>
    <w:rsid w:val="00D33E84"/>
    <w:rsid w:val="00D35135"/>
    <w:rsid w:val="00D47B4A"/>
    <w:rsid w:val="00D51655"/>
    <w:rsid w:val="00D61FF7"/>
    <w:rsid w:val="00D621FE"/>
    <w:rsid w:val="00D74F4E"/>
    <w:rsid w:val="00D918C8"/>
    <w:rsid w:val="00D966D6"/>
    <w:rsid w:val="00D9735E"/>
    <w:rsid w:val="00DA43B8"/>
    <w:rsid w:val="00DA535A"/>
    <w:rsid w:val="00DA5819"/>
    <w:rsid w:val="00DA5CFB"/>
    <w:rsid w:val="00DA7A85"/>
    <w:rsid w:val="00DB02F5"/>
    <w:rsid w:val="00DB1EA1"/>
    <w:rsid w:val="00DB55BD"/>
    <w:rsid w:val="00DC1C7D"/>
    <w:rsid w:val="00DC4BEB"/>
    <w:rsid w:val="00DD4736"/>
    <w:rsid w:val="00DD7281"/>
    <w:rsid w:val="00DE3BAB"/>
    <w:rsid w:val="00DF5651"/>
    <w:rsid w:val="00E01C4C"/>
    <w:rsid w:val="00E02046"/>
    <w:rsid w:val="00E04941"/>
    <w:rsid w:val="00E0535A"/>
    <w:rsid w:val="00E05991"/>
    <w:rsid w:val="00E168C6"/>
    <w:rsid w:val="00E17694"/>
    <w:rsid w:val="00E22878"/>
    <w:rsid w:val="00E239E7"/>
    <w:rsid w:val="00E269B3"/>
    <w:rsid w:val="00E27ECA"/>
    <w:rsid w:val="00E31CFC"/>
    <w:rsid w:val="00E35A08"/>
    <w:rsid w:val="00E368C7"/>
    <w:rsid w:val="00E42057"/>
    <w:rsid w:val="00E47042"/>
    <w:rsid w:val="00E5257E"/>
    <w:rsid w:val="00E57078"/>
    <w:rsid w:val="00E57EB9"/>
    <w:rsid w:val="00E67087"/>
    <w:rsid w:val="00E74D8B"/>
    <w:rsid w:val="00E777DE"/>
    <w:rsid w:val="00E82EE8"/>
    <w:rsid w:val="00E870D6"/>
    <w:rsid w:val="00EA0DCD"/>
    <w:rsid w:val="00EA7A67"/>
    <w:rsid w:val="00EB2D08"/>
    <w:rsid w:val="00EB69DD"/>
    <w:rsid w:val="00EC309A"/>
    <w:rsid w:val="00EC3F8D"/>
    <w:rsid w:val="00EC4519"/>
    <w:rsid w:val="00ED068D"/>
    <w:rsid w:val="00ED3407"/>
    <w:rsid w:val="00ED36E5"/>
    <w:rsid w:val="00ED656E"/>
    <w:rsid w:val="00EE1DA9"/>
    <w:rsid w:val="00EE1DFA"/>
    <w:rsid w:val="00EE40F3"/>
    <w:rsid w:val="00EE450B"/>
    <w:rsid w:val="00F03170"/>
    <w:rsid w:val="00F0577F"/>
    <w:rsid w:val="00F05C69"/>
    <w:rsid w:val="00F05FE0"/>
    <w:rsid w:val="00F06734"/>
    <w:rsid w:val="00F1004E"/>
    <w:rsid w:val="00F1275F"/>
    <w:rsid w:val="00F13FAE"/>
    <w:rsid w:val="00F1691D"/>
    <w:rsid w:val="00F223F1"/>
    <w:rsid w:val="00F409FD"/>
    <w:rsid w:val="00F4490C"/>
    <w:rsid w:val="00F517BF"/>
    <w:rsid w:val="00F532B1"/>
    <w:rsid w:val="00F61D97"/>
    <w:rsid w:val="00F62066"/>
    <w:rsid w:val="00F620FC"/>
    <w:rsid w:val="00F621CE"/>
    <w:rsid w:val="00F62C5A"/>
    <w:rsid w:val="00F72325"/>
    <w:rsid w:val="00F72378"/>
    <w:rsid w:val="00F850E9"/>
    <w:rsid w:val="00FA123D"/>
    <w:rsid w:val="00FA7DA5"/>
    <w:rsid w:val="00FB3F98"/>
    <w:rsid w:val="00FB5549"/>
    <w:rsid w:val="00FB624D"/>
    <w:rsid w:val="00FB6863"/>
    <w:rsid w:val="00FB6CBE"/>
    <w:rsid w:val="00FC5F82"/>
    <w:rsid w:val="00FD18FC"/>
    <w:rsid w:val="00FD2662"/>
    <w:rsid w:val="00FD4CA9"/>
    <w:rsid w:val="00FE14E6"/>
    <w:rsid w:val="00FE3F17"/>
    <w:rsid w:val="00FE3F33"/>
    <w:rsid w:val="00FF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D663"/>
  <w15:docId w15:val="{C9AB8E7A-6CEB-4469-AA51-DE9DA3F9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1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35A0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35A08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buhalterija</dc:creator>
  <cp:lastModifiedBy>Buhalterija</cp:lastModifiedBy>
  <cp:revision>46</cp:revision>
  <cp:lastPrinted>2018-04-11T13:20:00Z</cp:lastPrinted>
  <dcterms:created xsi:type="dcterms:W3CDTF">2016-10-12T09:48:00Z</dcterms:created>
  <dcterms:modified xsi:type="dcterms:W3CDTF">2018-06-05T13:07:00Z</dcterms:modified>
</cp:coreProperties>
</file>